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right" w:tblpY="405"/>
        <w:tblW w:w="0" w:type="auto"/>
        <w:tblLook w:val="04A0"/>
      </w:tblPr>
      <w:tblGrid>
        <w:gridCol w:w="2564"/>
      </w:tblGrid>
      <w:tr w:rsidR="001C0993" w:rsidTr="001C0993">
        <w:trPr>
          <w:trHeight w:val="2334"/>
        </w:trPr>
        <w:tc>
          <w:tcPr>
            <w:tcW w:w="1931" w:type="dxa"/>
          </w:tcPr>
          <w:p w:rsidR="001C0993" w:rsidRDefault="008236AE" w:rsidP="001C0993">
            <w:pPr>
              <w:tabs>
                <w:tab w:val="left" w:pos="5347"/>
              </w:tabs>
            </w:pPr>
            <w:bookmarkStart w:id="0" w:name="_GoBack"/>
            <w:bookmarkEnd w:id="0"/>
            <w:r>
              <w:t xml:space="preserve">Fotoğraf </w:t>
            </w:r>
            <w:r w:rsidR="002A07F8">
              <w:rPr>
                <w:noProof/>
              </w:rPr>
              <w:drawing>
                <wp:inline distT="0" distB="0" distL="0" distR="0">
                  <wp:extent cx="1471544" cy="1698172"/>
                  <wp:effectExtent l="19050" t="0" r="0" b="0"/>
                  <wp:docPr id="1" name="Resim 1" descr="C:\Users\ACER\Desktop\f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esktop\f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014" cy="1712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993" w:rsidRDefault="001C0993" w:rsidP="00396594">
      <w:pPr>
        <w:tabs>
          <w:tab w:val="left" w:pos="4333"/>
          <w:tab w:val="left" w:pos="5347"/>
        </w:tabs>
      </w:pPr>
      <w:r w:rsidRPr="00467E1A">
        <w:rPr>
          <w:b/>
        </w:rPr>
        <w:t>ADI SOYADI</w:t>
      </w:r>
      <w:r>
        <w:t>:</w:t>
      </w:r>
      <w:r w:rsidR="00615DB0">
        <w:t xml:space="preserve"> Hale Ateş </w:t>
      </w:r>
    </w:p>
    <w:p w:rsidR="001C0993" w:rsidRDefault="001C0993" w:rsidP="001C0993">
      <w:pPr>
        <w:tabs>
          <w:tab w:val="left" w:pos="5347"/>
        </w:tabs>
      </w:pPr>
      <w:r w:rsidRPr="00467E1A">
        <w:rPr>
          <w:b/>
        </w:rPr>
        <w:t>BRANŞI</w:t>
      </w:r>
      <w:r>
        <w:t>:</w:t>
      </w:r>
      <w:r w:rsidR="00A41873">
        <w:t xml:space="preserve"> Alerji  ve  İmmünoloji</w:t>
      </w:r>
    </w:p>
    <w:p w:rsidR="001C0993" w:rsidRDefault="001C0993" w:rsidP="001C0993">
      <w:pPr>
        <w:tabs>
          <w:tab w:val="left" w:pos="5347"/>
        </w:tabs>
      </w:pPr>
      <w:r w:rsidRPr="00467E1A">
        <w:rPr>
          <w:b/>
        </w:rPr>
        <w:t>YABANCI DİLLER</w:t>
      </w:r>
      <w:r>
        <w:t>:</w:t>
      </w:r>
      <w:r w:rsidR="00615DB0">
        <w:t xml:space="preserve"> İngilizce</w:t>
      </w:r>
    </w:p>
    <w:p w:rsidR="001C0993" w:rsidRDefault="001C0993" w:rsidP="001C0993">
      <w:pPr>
        <w:tabs>
          <w:tab w:val="left" w:pos="5347"/>
        </w:tabs>
      </w:pPr>
      <w:r w:rsidRPr="00467E1A">
        <w:rPr>
          <w:b/>
        </w:rPr>
        <w:t>İLETİŞİM</w:t>
      </w:r>
      <w:r>
        <w:t>:</w:t>
      </w:r>
      <w:r w:rsidR="00615DB0">
        <w:t xml:space="preserve"> 0(312)567 75 38</w:t>
      </w:r>
    </w:p>
    <w:p w:rsidR="001C0993" w:rsidRDefault="001C0993" w:rsidP="001C0993">
      <w:pPr>
        <w:tabs>
          <w:tab w:val="left" w:pos="5347"/>
        </w:tabs>
      </w:pPr>
      <w:r w:rsidRPr="00467E1A">
        <w:rPr>
          <w:b/>
        </w:rPr>
        <w:t>KLİNİK</w:t>
      </w:r>
      <w:r>
        <w:t>:</w:t>
      </w:r>
      <w:r w:rsidR="00924976">
        <w:t xml:space="preserve"> </w:t>
      </w:r>
      <w:r w:rsidR="00615DB0">
        <w:t xml:space="preserve">Alerji ve </w:t>
      </w:r>
      <w:r w:rsidR="00924976">
        <w:t xml:space="preserve">İmmünoloji Hastalıkları </w:t>
      </w:r>
      <w:r w:rsidR="00CA17A0">
        <w:t>Kliniği</w:t>
      </w:r>
    </w:p>
    <w:p w:rsidR="001C0993" w:rsidRPr="00467E1A" w:rsidRDefault="001C0993" w:rsidP="001C0993">
      <w:pPr>
        <w:tabs>
          <w:tab w:val="left" w:pos="5347"/>
        </w:tabs>
        <w:rPr>
          <w:b/>
        </w:rPr>
      </w:pPr>
      <w:r w:rsidRPr="00467E1A">
        <w:rPr>
          <w:b/>
        </w:rPr>
        <w:t>TIBBİ İLGİ VE UZMANLIK ALANLARI:</w:t>
      </w:r>
    </w:p>
    <w:p w:rsidR="00CA17A0" w:rsidRDefault="00207700" w:rsidP="00396594">
      <w:pPr>
        <w:tabs>
          <w:tab w:val="left" w:pos="5347"/>
        </w:tabs>
        <w:spacing w:after="120" w:line="240" w:lineRule="auto"/>
      </w:pPr>
      <w:r>
        <w:t>A</w:t>
      </w:r>
      <w:r w:rsidR="00CA17A0">
        <w:t>stım</w:t>
      </w:r>
    </w:p>
    <w:p w:rsidR="00CA17A0" w:rsidRDefault="00CA17A0" w:rsidP="00396594">
      <w:pPr>
        <w:tabs>
          <w:tab w:val="left" w:pos="5347"/>
        </w:tabs>
        <w:spacing w:after="120" w:line="240" w:lineRule="auto"/>
      </w:pPr>
      <w:r>
        <w:t>Alerjik rinit</w:t>
      </w:r>
    </w:p>
    <w:p w:rsidR="00CA17A0" w:rsidRDefault="00CA17A0" w:rsidP="00396594">
      <w:pPr>
        <w:tabs>
          <w:tab w:val="left" w:pos="5347"/>
        </w:tabs>
        <w:spacing w:after="120" w:line="240" w:lineRule="auto"/>
      </w:pPr>
      <w:r>
        <w:t>İlaç alerjisi</w:t>
      </w:r>
    </w:p>
    <w:p w:rsidR="00CA17A0" w:rsidRDefault="00CA17A0" w:rsidP="00396594">
      <w:pPr>
        <w:tabs>
          <w:tab w:val="left" w:pos="5347"/>
        </w:tabs>
        <w:spacing w:after="120" w:line="240" w:lineRule="auto"/>
      </w:pPr>
      <w:r>
        <w:t>Arı alerjisi</w:t>
      </w:r>
    </w:p>
    <w:p w:rsidR="00CA17A0" w:rsidRDefault="00CA17A0" w:rsidP="00396594">
      <w:pPr>
        <w:tabs>
          <w:tab w:val="left" w:pos="5347"/>
        </w:tabs>
        <w:spacing w:after="120" w:line="240" w:lineRule="auto"/>
      </w:pPr>
      <w:r>
        <w:t>Kronik ürtiker</w:t>
      </w:r>
    </w:p>
    <w:p w:rsidR="00CA17A0" w:rsidRDefault="00CA17A0" w:rsidP="00396594">
      <w:pPr>
        <w:tabs>
          <w:tab w:val="left" w:pos="5347"/>
        </w:tabs>
        <w:spacing w:after="120" w:line="240" w:lineRule="auto"/>
      </w:pPr>
      <w:r>
        <w:t>Alerjen spesifik immünoterapi</w:t>
      </w:r>
    </w:p>
    <w:p w:rsidR="00CA17A0" w:rsidRDefault="00CA17A0" w:rsidP="00396594">
      <w:pPr>
        <w:tabs>
          <w:tab w:val="left" w:pos="5347"/>
        </w:tabs>
        <w:spacing w:after="120" w:line="240" w:lineRule="auto"/>
      </w:pPr>
      <w:r>
        <w:t xml:space="preserve">Astım ve  ürtikerde biyolojik </w:t>
      </w:r>
      <w:r w:rsidR="00E00B7B">
        <w:t xml:space="preserve">ajan </w:t>
      </w:r>
      <w:r>
        <w:t>tedavi</w:t>
      </w:r>
      <w:r w:rsidR="004A4D04">
        <w:t>ler</w:t>
      </w:r>
      <w:r w:rsidR="00E00B7B">
        <w:t>i</w:t>
      </w:r>
    </w:p>
    <w:p w:rsidR="00966243" w:rsidRDefault="00966243" w:rsidP="001C0993">
      <w:pPr>
        <w:tabs>
          <w:tab w:val="left" w:pos="5347"/>
        </w:tabs>
      </w:pPr>
    </w:p>
    <w:p w:rsidR="00D0415A" w:rsidRPr="00467E1A" w:rsidRDefault="00966243" w:rsidP="001C0993">
      <w:pPr>
        <w:tabs>
          <w:tab w:val="left" w:pos="5347"/>
        </w:tabs>
        <w:rPr>
          <w:b/>
        </w:rPr>
      </w:pPr>
      <w:r w:rsidRPr="00467E1A">
        <w:rPr>
          <w:b/>
        </w:rPr>
        <w:t>EĞİTİMİ:</w:t>
      </w:r>
    </w:p>
    <w:p w:rsidR="00D0415A" w:rsidRDefault="00D0415A" w:rsidP="00396594">
      <w:pPr>
        <w:tabs>
          <w:tab w:val="left" w:pos="5347"/>
        </w:tabs>
        <w:spacing w:after="120" w:line="240" w:lineRule="auto"/>
        <w:jc w:val="both"/>
        <w:rPr>
          <w:rFonts w:cstheme="minorHAnsi"/>
          <w:noProof/>
        </w:rPr>
      </w:pPr>
      <w:r>
        <w:rPr>
          <w:rFonts w:cstheme="minorHAnsi"/>
          <w:noProof/>
        </w:rPr>
        <w:t>Tıp Fakültesi - Uludağ Üniversitesi</w:t>
      </w:r>
    </w:p>
    <w:p w:rsidR="00D0415A" w:rsidRDefault="00D0415A" w:rsidP="00396594">
      <w:pPr>
        <w:tabs>
          <w:tab w:val="left" w:pos="5347"/>
        </w:tabs>
        <w:spacing w:after="120" w:line="240" w:lineRule="auto"/>
        <w:jc w:val="both"/>
        <w:rPr>
          <w:rFonts w:cstheme="minorHAnsi"/>
          <w:noProof/>
        </w:rPr>
      </w:pPr>
      <w:r>
        <w:rPr>
          <w:rFonts w:cstheme="minorHAnsi"/>
          <w:noProof/>
        </w:rPr>
        <w:t xml:space="preserve">Göğüs Hastalıkları - </w:t>
      </w:r>
      <w:r w:rsidRPr="00A86A5E">
        <w:rPr>
          <w:rFonts w:cstheme="minorHAnsi"/>
          <w:noProof/>
        </w:rPr>
        <w:t>Turgut Özal Üniversitesi</w:t>
      </w:r>
    </w:p>
    <w:p w:rsidR="00D0415A" w:rsidRDefault="00D0415A" w:rsidP="00396594">
      <w:pPr>
        <w:tabs>
          <w:tab w:val="left" w:pos="5347"/>
        </w:tabs>
        <w:spacing w:after="120" w:line="240" w:lineRule="auto"/>
        <w:jc w:val="both"/>
        <w:rPr>
          <w:rFonts w:cstheme="minorHAnsi"/>
          <w:noProof/>
        </w:rPr>
      </w:pPr>
      <w:r>
        <w:rPr>
          <w:rFonts w:cstheme="minorHAnsi"/>
          <w:noProof/>
        </w:rPr>
        <w:t xml:space="preserve">Alerji ve İmmünoloji - </w:t>
      </w:r>
      <w:r w:rsidRPr="00176108">
        <w:rPr>
          <w:rFonts w:cstheme="minorHAnsi"/>
          <w:noProof/>
        </w:rPr>
        <w:t>Ankara Atatürk  Göğüs Hastalıkları ve Göğüs Cerrahisi Eğitim ve Araştırma Hastanesi</w:t>
      </w:r>
    </w:p>
    <w:p w:rsidR="00396594" w:rsidRDefault="00396594" w:rsidP="00396594">
      <w:pPr>
        <w:tabs>
          <w:tab w:val="left" w:pos="5347"/>
        </w:tabs>
        <w:spacing w:after="120"/>
        <w:jc w:val="both"/>
      </w:pPr>
    </w:p>
    <w:p w:rsidR="00966243" w:rsidRPr="00467E1A" w:rsidRDefault="00966243" w:rsidP="001C0993">
      <w:pPr>
        <w:tabs>
          <w:tab w:val="left" w:pos="5347"/>
        </w:tabs>
        <w:rPr>
          <w:b/>
        </w:rPr>
      </w:pPr>
      <w:r w:rsidRPr="00467E1A">
        <w:rPr>
          <w:b/>
        </w:rPr>
        <w:t>ÇALIŞTIĞI KURUMLAR:</w:t>
      </w:r>
    </w:p>
    <w:p w:rsidR="00CA17A0" w:rsidRPr="00467E1A" w:rsidRDefault="00CA17A0" w:rsidP="00396594">
      <w:pPr>
        <w:tabs>
          <w:tab w:val="left" w:pos="5347"/>
        </w:tabs>
        <w:spacing w:line="240" w:lineRule="auto"/>
        <w:rPr>
          <w:rFonts w:cstheme="minorHAnsi"/>
          <w:noProof/>
        </w:rPr>
      </w:pPr>
      <w:r w:rsidRPr="00467E1A">
        <w:rPr>
          <w:rFonts w:cstheme="minorHAnsi"/>
          <w:noProof/>
        </w:rPr>
        <w:t>Ankara Nallıhan Merkez Sağlık Ocağı - Pratisyen hekim</w:t>
      </w:r>
    </w:p>
    <w:p w:rsidR="00CA17A0" w:rsidRPr="00467E1A" w:rsidRDefault="00CA17A0" w:rsidP="00396594">
      <w:pPr>
        <w:tabs>
          <w:tab w:val="left" w:pos="5347"/>
        </w:tabs>
        <w:spacing w:line="240" w:lineRule="auto"/>
        <w:rPr>
          <w:rFonts w:cstheme="minorHAnsi"/>
          <w:noProof/>
        </w:rPr>
      </w:pPr>
      <w:r w:rsidRPr="00467E1A">
        <w:rPr>
          <w:rFonts w:cstheme="minorHAnsi"/>
          <w:noProof/>
        </w:rPr>
        <w:t>Turgut Özal Üniversitesi Tıp Fakültesi Hastanesi - Araştırma Görevlisi Doktor</w:t>
      </w:r>
    </w:p>
    <w:p w:rsidR="00CA17A0" w:rsidRPr="00467E1A" w:rsidRDefault="00CA17A0" w:rsidP="00396594">
      <w:pPr>
        <w:tabs>
          <w:tab w:val="left" w:pos="5347"/>
        </w:tabs>
        <w:spacing w:line="240" w:lineRule="auto"/>
        <w:rPr>
          <w:rFonts w:cstheme="minorHAnsi"/>
          <w:noProof/>
        </w:rPr>
      </w:pPr>
      <w:r w:rsidRPr="00467E1A">
        <w:rPr>
          <w:rFonts w:cstheme="minorHAnsi"/>
          <w:noProof/>
        </w:rPr>
        <w:t>Ankara Numune Eğitim ve Araştırma Hastanesi - Uzman Doktor</w:t>
      </w:r>
    </w:p>
    <w:p w:rsidR="00CA17A0" w:rsidRPr="00467E1A" w:rsidRDefault="00CA17A0" w:rsidP="00396594">
      <w:pPr>
        <w:tabs>
          <w:tab w:val="left" w:pos="5347"/>
        </w:tabs>
        <w:spacing w:line="240" w:lineRule="auto"/>
        <w:rPr>
          <w:rFonts w:cstheme="minorHAnsi"/>
          <w:noProof/>
        </w:rPr>
      </w:pPr>
      <w:r w:rsidRPr="00467E1A">
        <w:rPr>
          <w:rFonts w:cstheme="minorHAnsi"/>
          <w:noProof/>
        </w:rPr>
        <w:t>Ankara Atatürk  Göğüs Hastalıkları ve Göğüs Cerrahisi Eğitim ve Araştırma Hastanesi - Yandal Uzmanlık Araştırma Görevlisi</w:t>
      </w:r>
    </w:p>
    <w:p w:rsidR="00CA17A0" w:rsidRPr="00467E1A" w:rsidRDefault="00CA17A0" w:rsidP="00396594">
      <w:pPr>
        <w:tabs>
          <w:tab w:val="left" w:pos="5347"/>
        </w:tabs>
        <w:spacing w:line="240" w:lineRule="auto"/>
        <w:rPr>
          <w:rFonts w:cstheme="minorHAnsi"/>
          <w:noProof/>
        </w:rPr>
      </w:pPr>
      <w:r w:rsidRPr="00467E1A">
        <w:rPr>
          <w:rFonts w:cstheme="minorHAnsi"/>
          <w:noProof/>
        </w:rPr>
        <w:t>Van Bölge Eğitim ve Araştırma Hastanesi - Uzman Doktor</w:t>
      </w:r>
    </w:p>
    <w:p w:rsidR="00CA17A0" w:rsidRDefault="00CA17A0" w:rsidP="00396594">
      <w:pPr>
        <w:tabs>
          <w:tab w:val="left" w:pos="5347"/>
        </w:tabs>
        <w:spacing w:line="240" w:lineRule="auto"/>
        <w:rPr>
          <w:rFonts w:cstheme="minorHAnsi"/>
          <w:noProof/>
        </w:rPr>
      </w:pPr>
      <w:r w:rsidRPr="00467E1A">
        <w:rPr>
          <w:rFonts w:cstheme="minorHAnsi"/>
          <w:noProof/>
        </w:rPr>
        <w:t xml:space="preserve">Ankara Atatürk  Göğüs Hastalıkları ve Göğüs Cerrahisi Eğitim ve Araştırma Hastanesi </w:t>
      </w:r>
      <w:r w:rsidR="001A5590" w:rsidRPr="00467E1A">
        <w:rPr>
          <w:rFonts w:cstheme="minorHAnsi"/>
          <w:noProof/>
        </w:rPr>
        <w:t>- Uzman Doktor</w:t>
      </w:r>
    </w:p>
    <w:p w:rsidR="00966243" w:rsidRDefault="00966243" w:rsidP="001C0993">
      <w:pPr>
        <w:tabs>
          <w:tab w:val="left" w:pos="5347"/>
        </w:tabs>
        <w:rPr>
          <w:b/>
        </w:rPr>
      </w:pPr>
      <w:r w:rsidRPr="00467E1A">
        <w:rPr>
          <w:b/>
        </w:rPr>
        <w:lastRenderedPageBreak/>
        <w:t>YAYINLAR:</w:t>
      </w:r>
    </w:p>
    <w:p w:rsidR="00CF4E5D" w:rsidRDefault="00CF4E5D" w:rsidP="00396594">
      <w:pPr>
        <w:pStyle w:val="Balk1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  <w:r w:rsidRPr="00396594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>Ateş H</w:t>
      </w:r>
      <w:r w:rsidRPr="00396594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CF4E5D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Ateş İ, Bozkurt B, Çelik HT, Özol D, Yldrm Z. </w:t>
      </w:r>
      <w:r w:rsidRPr="00CF4E5D">
        <w:rPr>
          <w:rFonts w:asciiTheme="minorHAnsi" w:hAnsiTheme="minorHAnsi" w:cstheme="minorHAnsi"/>
          <w:b w:val="0"/>
          <w:sz w:val="22"/>
          <w:szCs w:val="22"/>
        </w:rPr>
        <w:t>What is the most reliable marker in the differential diagnosis of pulmonary embolism and community-acquired pneumonia?</w:t>
      </w:r>
      <w:r w:rsidRPr="00CF4E5D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Blood Coagul Fibrinolysis. 2016 Apr;27(3):252-8</w:t>
      </w:r>
    </w:p>
    <w:p w:rsidR="00CF4E5D" w:rsidRDefault="00CF4E5D" w:rsidP="00396594">
      <w:pPr>
        <w:pStyle w:val="Balk1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  <w:r w:rsidRPr="00CF4E5D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Ateş İ, Yazıcı O, </w:t>
      </w:r>
      <w:r w:rsidRPr="00396594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>Ateş H</w:t>
      </w:r>
      <w:r w:rsidRPr="00CF4E5D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, Yazılıtaş D, Özcan AN, Ağaçkıran Y, Zengin N. </w:t>
      </w:r>
      <w:r w:rsidRPr="00CF4E5D">
        <w:rPr>
          <w:rFonts w:asciiTheme="minorHAnsi" w:hAnsiTheme="minorHAnsi" w:cstheme="minorHAnsi"/>
          <w:b w:val="0"/>
          <w:sz w:val="22"/>
          <w:szCs w:val="22"/>
        </w:rPr>
        <w:t>Squamous Cell Cancer of The Lung with Synchronous Renal Cell Carcinoma.</w:t>
      </w:r>
      <w:r w:rsidRPr="00CF4E5D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Turk Thorac J. 2016 Jul;17(3):125-127. </w:t>
      </w:r>
    </w:p>
    <w:p w:rsidR="00CF4E5D" w:rsidRPr="00CF4E5D" w:rsidRDefault="00CF4E5D" w:rsidP="00396594">
      <w:pPr>
        <w:pStyle w:val="Balk1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96594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>Ates H</w:t>
      </w:r>
      <w:r w:rsidRPr="00CF4E5D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, Ates I, Kundi H, Yilmaz FM.</w:t>
      </w:r>
      <w:r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</w:t>
      </w:r>
      <w:r w:rsidRPr="00CF4E5D">
        <w:rPr>
          <w:rFonts w:asciiTheme="minorHAnsi" w:hAnsiTheme="minorHAnsi" w:cstheme="minorHAnsi"/>
          <w:b w:val="0"/>
          <w:sz w:val="22"/>
          <w:szCs w:val="22"/>
        </w:rPr>
        <w:t>Diagnostic validity of hematologic parameters in evaluation of massive pulmonary embolism.</w:t>
      </w:r>
      <w:r w:rsidRPr="00CF4E5D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J Clin Lab Anal. 2017 Sep;31(5):e22072. </w:t>
      </w:r>
    </w:p>
    <w:p w:rsidR="00CF4E5D" w:rsidRPr="00CF4E5D" w:rsidRDefault="00CF4E5D" w:rsidP="00396594">
      <w:pPr>
        <w:pStyle w:val="Balk1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96594">
        <w:rPr>
          <w:rFonts w:asciiTheme="minorHAnsi" w:hAnsiTheme="minorHAnsi" w:cstheme="minorHAnsi"/>
          <w:bCs w:val="0"/>
          <w:color w:val="212121"/>
          <w:sz w:val="22"/>
          <w:szCs w:val="22"/>
          <w:shd w:val="clear" w:color="auto" w:fill="FFFFFF"/>
        </w:rPr>
        <w:t>Ates H</w:t>
      </w:r>
      <w:r w:rsidRPr="00CF4E5D">
        <w:rPr>
          <w:rFonts w:asciiTheme="minorHAnsi" w:hAnsiTheme="minorHAnsi" w:cstheme="minorHAnsi"/>
          <w:b w:val="0"/>
          <w:color w:val="212121"/>
          <w:sz w:val="22"/>
          <w:szCs w:val="22"/>
          <w:shd w:val="clear" w:color="auto" w:fill="FFFFFF"/>
        </w:rPr>
        <w:t>, Ates I, Kundi H, Arikan MF, Yilmaz FM.</w:t>
      </w:r>
      <w:r>
        <w:rPr>
          <w:rFonts w:asciiTheme="minorHAnsi" w:hAnsiTheme="minorHAnsi" w:cstheme="minorHAnsi"/>
          <w:b w:val="0"/>
          <w:color w:val="212121"/>
          <w:sz w:val="22"/>
          <w:szCs w:val="22"/>
          <w:shd w:val="clear" w:color="auto" w:fill="FFFFFF"/>
        </w:rPr>
        <w:t xml:space="preserve"> </w:t>
      </w:r>
      <w:r w:rsidRPr="00CF4E5D">
        <w:rPr>
          <w:rFonts w:asciiTheme="minorHAnsi" w:hAnsiTheme="minorHAnsi" w:cstheme="minorHAnsi"/>
          <w:b w:val="0"/>
          <w:color w:val="212121"/>
          <w:sz w:val="22"/>
          <w:szCs w:val="22"/>
        </w:rPr>
        <w:t xml:space="preserve">A novel clinical index for the assessment of RVD in acute pulmonary embolism: Blood pressure </w:t>
      </w:r>
      <w:r w:rsidRPr="00CF4E5D">
        <w:rPr>
          <w:rFonts w:asciiTheme="minorHAnsi" w:hAnsiTheme="minorHAnsi" w:cstheme="minorHAnsi"/>
          <w:b w:val="0"/>
          <w:sz w:val="22"/>
          <w:szCs w:val="22"/>
        </w:rPr>
        <w:t>index.</w:t>
      </w:r>
      <w:r w:rsidRPr="00CF4E5D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Am J Emerg Med. 2017 Oct;35(10):1400-1403.</w:t>
      </w:r>
    </w:p>
    <w:p w:rsidR="00CF4E5D" w:rsidRPr="00CF4E5D" w:rsidRDefault="00CF4E5D" w:rsidP="00396594">
      <w:pPr>
        <w:pStyle w:val="Balk1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F4E5D">
        <w:rPr>
          <w:rFonts w:asciiTheme="minorHAnsi" w:hAnsiTheme="minorHAnsi" w:cstheme="minorHAnsi"/>
          <w:b w:val="0"/>
          <w:color w:val="212121"/>
          <w:sz w:val="22"/>
          <w:szCs w:val="22"/>
          <w:shd w:val="clear" w:color="auto" w:fill="FFFFFF"/>
        </w:rPr>
        <w:t>Ates I, Ozkayar N, </w:t>
      </w:r>
      <w:r w:rsidRPr="00396594">
        <w:rPr>
          <w:rFonts w:asciiTheme="minorHAnsi" w:hAnsiTheme="minorHAnsi" w:cstheme="minorHAnsi"/>
          <w:bCs w:val="0"/>
          <w:color w:val="212121"/>
          <w:sz w:val="22"/>
          <w:szCs w:val="22"/>
          <w:shd w:val="clear" w:color="auto" w:fill="FFFFFF"/>
        </w:rPr>
        <w:t>Ates H</w:t>
      </w:r>
      <w:r w:rsidRPr="00CF4E5D">
        <w:rPr>
          <w:rFonts w:asciiTheme="minorHAnsi" w:hAnsiTheme="minorHAnsi" w:cstheme="minorHAnsi"/>
          <w:b w:val="0"/>
          <w:color w:val="212121"/>
          <w:sz w:val="22"/>
          <w:szCs w:val="22"/>
          <w:shd w:val="clear" w:color="auto" w:fill="FFFFFF"/>
        </w:rPr>
        <w:t xml:space="preserve">, Karakulak UN, Kursun O, Topcuoglu C, Inan B, Yilmaz N.  </w:t>
      </w:r>
      <w:r w:rsidRPr="00CF4E5D">
        <w:rPr>
          <w:rFonts w:asciiTheme="minorHAnsi" w:hAnsiTheme="minorHAnsi" w:cstheme="minorHAnsi"/>
          <w:b w:val="0"/>
          <w:color w:val="212121"/>
          <w:sz w:val="22"/>
          <w:szCs w:val="22"/>
        </w:rPr>
        <w:t xml:space="preserve">Elevated circulating sST2 associated with subclinical atherosclerosis in newly diagnosed primary </w:t>
      </w:r>
      <w:r w:rsidRPr="00CF4E5D">
        <w:rPr>
          <w:rFonts w:asciiTheme="minorHAnsi" w:hAnsiTheme="minorHAnsi" w:cstheme="minorHAnsi"/>
          <w:b w:val="0"/>
          <w:sz w:val="22"/>
          <w:szCs w:val="22"/>
        </w:rPr>
        <w:t xml:space="preserve">hypertension. </w:t>
      </w:r>
      <w:r w:rsidRPr="00CF4E5D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Hypertens Res. 2016 Jul;39(7):513-8.</w:t>
      </w:r>
    </w:p>
    <w:p w:rsidR="00CF4E5D" w:rsidRPr="00A65996" w:rsidRDefault="00CF4E5D" w:rsidP="00396594">
      <w:pPr>
        <w:pStyle w:val="Balk1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F4E5D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Kaplan M, Yuksel M, Ates I, Yaln Kilic ZM, Kilic H, </w:t>
      </w:r>
      <w:r w:rsidRPr="00396594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>Ates H</w:t>
      </w:r>
      <w:r w:rsidRPr="00396594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CF4E5D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Kayacetin E.</w:t>
      </w:r>
      <w:r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</w:t>
      </w:r>
      <w:r w:rsidRPr="00CF4E5D">
        <w:rPr>
          <w:rFonts w:asciiTheme="minorHAnsi" w:hAnsiTheme="minorHAnsi" w:cstheme="minorHAnsi"/>
          <w:b w:val="0"/>
          <w:sz w:val="22"/>
          <w:szCs w:val="22"/>
        </w:rPr>
        <w:t>Are sTWEAK and IL-17A Levels in Inflammatory Bowel Disease Associated with Disease Activity and Etiopathogenesis?</w:t>
      </w:r>
      <w:r w:rsidRPr="00CF4E5D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Inflamm Bowel Dis. 2016 Mar;22(3):615-22. </w:t>
      </w:r>
    </w:p>
    <w:p w:rsidR="00A65996" w:rsidRPr="00D96C81" w:rsidRDefault="00A65996" w:rsidP="00396594">
      <w:pPr>
        <w:pStyle w:val="Balk1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65996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Yuksel M, Kaplan M, Ates I, Kilic ZM, Kilic H, Suna N, </w:t>
      </w:r>
      <w:r w:rsidRPr="00396594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>Ates H</w:t>
      </w:r>
      <w:r w:rsidRPr="00A65996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, Kayacetin E.</w:t>
      </w:r>
      <w:r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</w:t>
      </w:r>
      <w:r w:rsidRPr="00A65996">
        <w:rPr>
          <w:rFonts w:asciiTheme="minorHAnsi" w:hAnsiTheme="minorHAnsi" w:cstheme="minorHAnsi"/>
          <w:b w:val="0"/>
          <w:sz w:val="22"/>
          <w:szCs w:val="22"/>
        </w:rPr>
        <w:t>The role of soluble tumor necrosis factor like weak inducer of apoptosis and interleukin-17A in the etiopathogenesis of celiac disease: A cross-sectional study.</w:t>
      </w:r>
      <w:r w:rsidRPr="00A65996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Medicine (Baltimore). 2016 Jun;95(26):e3937. </w:t>
      </w:r>
    </w:p>
    <w:p w:rsidR="00D96C81" w:rsidRPr="00D96C81" w:rsidRDefault="00D96C81" w:rsidP="00396594">
      <w:pPr>
        <w:pStyle w:val="Balk1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b w:val="0"/>
          <w:color w:val="212121"/>
          <w:sz w:val="22"/>
          <w:szCs w:val="22"/>
        </w:rPr>
      </w:pPr>
      <w:r w:rsidRPr="00D96C81">
        <w:rPr>
          <w:rFonts w:asciiTheme="minorHAnsi" w:hAnsiTheme="minorHAnsi" w:cstheme="minorHAnsi"/>
          <w:b w:val="0"/>
          <w:color w:val="212121"/>
          <w:sz w:val="22"/>
          <w:szCs w:val="22"/>
          <w:shd w:val="clear" w:color="auto" w:fill="FFFFFF"/>
        </w:rPr>
        <w:t>Aksu K, Yesilkaya S, Topel M, Turkyilmaz S, Ercelebi DC, Oncul A, Kalkan IK, </w:t>
      </w:r>
      <w:r w:rsidRPr="00396594">
        <w:rPr>
          <w:rFonts w:asciiTheme="minorHAnsi" w:hAnsiTheme="minorHAnsi" w:cstheme="minorHAnsi"/>
          <w:bCs w:val="0"/>
          <w:color w:val="212121"/>
          <w:sz w:val="22"/>
          <w:szCs w:val="22"/>
          <w:shd w:val="clear" w:color="auto" w:fill="FFFFFF"/>
        </w:rPr>
        <w:t>Ates H</w:t>
      </w:r>
      <w:r w:rsidRPr="00D96C81">
        <w:rPr>
          <w:rFonts w:asciiTheme="minorHAnsi" w:hAnsiTheme="minorHAnsi" w:cstheme="minorHAnsi"/>
          <w:b w:val="0"/>
          <w:bCs w:val="0"/>
          <w:color w:val="212121"/>
          <w:sz w:val="22"/>
          <w:szCs w:val="22"/>
          <w:shd w:val="clear" w:color="auto" w:fill="FFFFFF"/>
        </w:rPr>
        <w:t>.</w:t>
      </w:r>
      <w:r>
        <w:rPr>
          <w:rFonts w:asciiTheme="minorHAnsi" w:hAnsiTheme="minorHAnsi" w:cstheme="minorHAnsi"/>
          <w:b w:val="0"/>
          <w:bCs w:val="0"/>
          <w:color w:val="212121"/>
          <w:sz w:val="22"/>
          <w:szCs w:val="22"/>
          <w:shd w:val="clear" w:color="auto" w:fill="FFFFFF"/>
        </w:rPr>
        <w:t xml:space="preserve"> </w:t>
      </w:r>
      <w:r w:rsidRPr="00D96C81">
        <w:rPr>
          <w:rFonts w:asciiTheme="minorHAnsi" w:hAnsiTheme="minorHAnsi" w:cstheme="minorHAnsi"/>
          <w:b w:val="0"/>
          <w:color w:val="212121"/>
          <w:sz w:val="22"/>
          <w:szCs w:val="22"/>
        </w:rPr>
        <w:t xml:space="preserve">COVID-19 in a patient with severe asthma using </w:t>
      </w:r>
      <w:r w:rsidRPr="00D96C81">
        <w:rPr>
          <w:rFonts w:asciiTheme="minorHAnsi" w:hAnsiTheme="minorHAnsi" w:cstheme="minorHAnsi"/>
          <w:b w:val="0"/>
          <w:sz w:val="22"/>
          <w:szCs w:val="22"/>
        </w:rPr>
        <w:t xml:space="preserve">mepolizumab. </w:t>
      </w:r>
      <w:r w:rsidRPr="00D96C81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Allergy Asthma Proc. 2021 Feb 3</w:t>
      </w:r>
      <w:r w:rsidRPr="00D96C81">
        <w:rPr>
          <w:rFonts w:asciiTheme="minorHAnsi" w:hAnsiTheme="minorHAnsi" w:cstheme="minorHAnsi"/>
          <w:b w:val="0"/>
          <w:color w:val="4D8055"/>
          <w:sz w:val="22"/>
          <w:szCs w:val="22"/>
          <w:shd w:val="clear" w:color="auto" w:fill="FFFFFF"/>
        </w:rPr>
        <w:t>.</w:t>
      </w:r>
    </w:p>
    <w:p w:rsidR="00D96C81" w:rsidRPr="00396594" w:rsidRDefault="00396594" w:rsidP="00396594">
      <w:pPr>
        <w:pStyle w:val="Balk1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96594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Koca Kalkan I, Koycu Buhari G, </w:t>
      </w:r>
      <w:r w:rsidRPr="00396594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>Ates H</w:t>
      </w:r>
      <w:r w:rsidRPr="00396594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, Basa Akdogan B, Erdem Ozdedeoglu O, Aksu K, Oner Erkekol F.</w:t>
      </w:r>
      <w:r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</w:t>
      </w:r>
      <w:r w:rsidR="00D96C81" w:rsidRPr="00396594">
        <w:rPr>
          <w:rFonts w:asciiTheme="minorHAnsi" w:hAnsiTheme="minorHAnsi" w:cstheme="minorHAnsi"/>
          <w:b w:val="0"/>
          <w:sz w:val="22"/>
          <w:szCs w:val="22"/>
        </w:rPr>
        <w:t>Identification of Risk Factors and Cross-Reactivity of Local Anesthetics Hypersensitivity: Analysis of 14-Years' Experience</w:t>
      </w:r>
      <w:r w:rsidRPr="00396594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Pr="00396594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J Asthma Allergy. 2021 Jan 22;14:47-58. </w:t>
      </w:r>
    </w:p>
    <w:p w:rsidR="00CF4E5D" w:rsidRPr="00A65996" w:rsidRDefault="00CF4E5D" w:rsidP="00396594">
      <w:pPr>
        <w:pStyle w:val="Balk1"/>
        <w:shd w:val="clear" w:color="auto" w:fill="FFFFFF"/>
        <w:spacing w:line="276" w:lineRule="auto"/>
        <w:ind w:left="360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</w:p>
    <w:p w:rsidR="00CF4E5D" w:rsidRPr="00467E1A" w:rsidRDefault="00CF4E5D" w:rsidP="00CF4E5D">
      <w:pPr>
        <w:tabs>
          <w:tab w:val="left" w:pos="5347"/>
        </w:tabs>
        <w:rPr>
          <w:b/>
        </w:rPr>
      </w:pPr>
    </w:p>
    <w:p w:rsidR="001C0993" w:rsidRDefault="001C0993" w:rsidP="001C0993">
      <w:pPr>
        <w:tabs>
          <w:tab w:val="left" w:pos="5347"/>
        </w:tabs>
      </w:pPr>
    </w:p>
    <w:p w:rsidR="001C0993" w:rsidRDefault="001C0993"/>
    <w:sectPr w:rsidR="001C0993" w:rsidSect="006455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970" w:rsidRDefault="00B81970" w:rsidP="0004606C">
      <w:pPr>
        <w:spacing w:after="0" w:line="240" w:lineRule="auto"/>
      </w:pPr>
      <w:r>
        <w:separator/>
      </w:r>
    </w:p>
  </w:endnote>
  <w:endnote w:type="continuationSeparator" w:id="1">
    <w:p w:rsidR="00B81970" w:rsidRDefault="00B81970" w:rsidP="0004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970" w:rsidRDefault="00B81970" w:rsidP="0004606C">
      <w:pPr>
        <w:spacing w:after="0" w:line="240" w:lineRule="auto"/>
      </w:pPr>
      <w:r>
        <w:separator/>
      </w:r>
    </w:p>
  </w:footnote>
  <w:footnote w:type="continuationSeparator" w:id="1">
    <w:p w:rsidR="00B81970" w:rsidRDefault="00B81970" w:rsidP="0004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B1" w:rsidRDefault="00FF4277" w:rsidP="00AD7BB1">
    <w:r>
      <w:rPr>
        <w:noProof/>
      </w:rPr>
      <w:drawing>
        <wp:inline distT="0" distB="0" distL="0" distR="0">
          <wp:extent cx="823789" cy="799058"/>
          <wp:effectExtent l="1905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489" cy="79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7BB1">
      <w:t xml:space="preserve">ATATÜRK GÖĞÜS HASTALIKLARI VE GÖĞÜS CERRAHİSİ EĞİTİM VE          </w:t>
    </w:r>
  </w:p>
  <w:p w:rsidR="0004606C" w:rsidRDefault="00AD7BB1" w:rsidP="00AD7BB1">
    <w:pPr>
      <w:jc w:val="center"/>
    </w:pPr>
    <w:r>
      <w:t xml:space="preserve">ARAŞTIRMA HASTANESİ           </w:t>
    </w:r>
  </w:p>
  <w:p w:rsidR="00FF4277" w:rsidRDefault="00FF4277" w:rsidP="00FF4277">
    <w:pPr>
      <w:pStyle w:val="stbilgi"/>
    </w:pPr>
  </w:p>
  <w:p w:rsidR="00FF4277" w:rsidRPr="00FF4277" w:rsidRDefault="00FF4277" w:rsidP="00FF427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1685"/>
    <w:multiLevelType w:val="hybridMultilevel"/>
    <w:tmpl w:val="24147C4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0993"/>
    <w:rsid w:val="000126AC"/>
    <w:rsid w:val="0004606C"/>
    <w:rsid w:val="001A5590"/>
    <w:rsid w:val="001C0993"/>
    <w:rsid w:val="00207700"/>
    <w:rsid w:val="002704A9"/>
    <w:rsid w:val="002A07F8"/>
    <w:rsid w:val="00396594"/>
    <w:rsid w:val="00411EA9"/>
    <w:rsid w:val="00467E1A"/>
    <w:rsid w:val="004A4D04"/>
    <w:rsid w:val="00540868"/>
    <w:rsid w:val="00615DB0"/>
    <w:rsid w:val="006455FC"/>
    <w:rsid w:val="006C20B9"/>
    <w:rsid w:val="0077623C"/>
    <w:rsid w:val="008236AE"/>
    <w:rsid w:val="008F4427"/>
    <w:rsid w:val="00924976"/>
    <w:rsid w:val="00966243"/>
    <w:rsid w:val="00A41873"/>
    <w:rsid w:val="00A569D4"/>
    <w:rsid w:val="00A65996"/>
    <w:rsid w:val="00AD7BB1"/>
    <w:rsid w:val="00B07201"/>
    <w:rsid w:val="00B81970"/>
    <w:rsid w:val="00BA4E77"/>
    <w:rsid w:val="00CA17A0"/>
    <w:rsid w:val="00CF4E5D"/>
    <w:rsid w:val="00D0415A"/>
    <w:rsid w:val="00D96C81"/>
    <w:rsid w:val="00E00B7B"/>
    <w:rsid w:val="00E704D2"/>
    <w:rsid w:val="00ED24AD"/>
    <w:rsid w:val="00F63AF2"/>
    <w:rsid w:val="00FD5970"/>
    <w:rsid w:val="00FF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FC"/>
  </w:style>
  <w:style w:type="paragraph" w:styleId="Balk1">
    <w:name w:val="heading 1"/>
    <w:basedOn w:val="Normal"/>
    <w:link w:val="Balk1Char"/>
    <w:uiPriority w:val="9"/>
    <w:qFormat/>
    <w:rsid w:val="00CF4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606C"/>
  </w:style>
  <w:style w:type="paragraph" w:styleId="Altbilgi">
    <w:name w:val="footer"/>
    <w:basedOn w:val="Normal"/>
    <w:link w:val="Al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4606C"/>
  </w:style>
  <w:style w:type="paragraph" w:styleId="BalonMetni">
    <w:name w:val="Balloon Text"/>
    <w:basedOn w:val="Normal"/>
    <w:link w:val="BalonMetniChar"/>
    <w:uiPriority w:val="99"/>
    <w:semiHidden/>
    <w:unhideWhenUsed/>
    <w:rsid w:val="000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06C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F4E5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</dc:creator>
  <cp:lastModifiedBy>ACER</cp:lastModifiedBy>
  <cp:revision>15</cp:revision>
  <dcterms:created xsi:type="dcterms:W3CDTF">2021-02-11T07:05:00Z</dcterms:created>
  <dcterms:modified xsi:type="dcterms:W3CDTF">2021-02-12T09:13:00Z</dcterms:modified>
</cp:coreProperties>
</file>